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Zarządzenie Nr </w:t>
      </w:r>
      <w:r w:rsidR="009004B3">
        <w:rPr>
          <w:sz w:val="32"/>
          <w:szCs w:val="32"/>
        </w:rPr>
        <w:t>138/11</w:t>
      </w:r>
    </w:p>
    <w:p w:rsidR="00515E6A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>Burmistrza Miasta i Gminy Pińczów</w:t>
      </w:r>
    </w:p>
    <w:p w:rsidR="00515E6A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 dnia </w:t>
      </w:r>
      <w:r w:rsidR="009004B3">
        <w:rPr>
          <w:sz w:val="32"/>
          <w:szCs w:val="32"/>
        </w:rPr>
        <w:t>21-12-2011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</w:t>
      </w:r>
      <w:r w:rsidR="006F6D13">
        <w:rPr>
          <w:sz w:val="26"/>
          <w:szCs w:val="26"/>
        </w:rPr>
        <w:t xml:space="preserve">ianami), art. 257 ust. 3 </w:t>
      </w:r>
      <w:r w:rsidR="00FA2097">
        <w:rPr>
          <w:sz w:val="26"/>
          <w:szCs w:val="26"/>
        </w:rPr>
        <w:t xml:space="preserve">i art. 259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 w:rsidR="00481C7E">
        <w:rPr>
          <w:sz w:val="26"/>
          <w:szCs w:val="26"/>
        </w:rPr>
        <w:t>ły Nr V/30/11 Rady Miejskiej w </w:t>
      </w:r>
      <w:r w:rsidRPr="00515E6A">
        <w:rPr>
          <w:sz w:val="26"/>
          <w:szCs w:val="26"/>
        </w:rPr>
        <w:t>Pińczowie z 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515E6A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 w zakresie działów, rozdziałów i paragrafów zgodnie z załącznikiem Nr 1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106584"/>
    <w:rsid w:val="003E4429"/>
    <w:rsid w:val="00481C7E"/>
    <w:rsid w:val="00515E6A"/>
    <w:rsid w:val="006F6D13"/>
    <w:rsid w:val="00743247"/>
    <w:rsid w:val="007A101B"/>
    <w:rsid w:val="009004B3"/>
    <w:rsid w:val="00947C1B"/>
    <w:rsid w:val="00FA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7</cp:revision>
  <cp:lastPrinted>2011-12-21T08:46:00Z</cp:lastPrinted>
  <dcterms:created xsi:type="dcterms:W3CDTF">2011-07-08T08:51:00Z</dcterms:created>
  <dcterms:modified xsi:type="dcterms:W3CDTF">2011-12-22T13:54:00Z</dcterms:modified>
</cp:coreProperties>
</file>